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7095" w14:textId="77777777" w:rsidR="00503B14" w:rsidRPr="007453FD" w:rsidRDefault="00503B14" w:rsidP="00661B04">
      <w:pPr>
        <w:autoSpaceDE w:val="0"/>
        <w:autoSpaceDN w:val="0"/>
        <w:adjustRightInd w:val="0"/>
        <w:spacing w:before="120"/>
        <w:jc w:val="center"/>
        <w:rPr>
          <w:b/>
          <w:color w:val="0070C0"/>
          <w:spacing w:val="-6"/>
        </w:rPr>
      </w:pPr>
      <w:r w:rsidRPr="007453FD">
        <w:rPr>
          <w:b/>
          <w:color w:val="0070C0"/>
          <w:spacing w:val="-6"/>
        </w:rPr>
        <w:t>ABSTRACT EXAMPLE</w:t>
      </w:r>
    </w:p>
    <w:p w14:paraId="530FB368" w14:textId="77777777" w:rsidR="00EE776F" w:rsidRPr="00503B14" w:rsidRDefault="00EE776F" w:rsidP="00661B04">
      <w:pPr>
        <w:autoSpaceDE w:val="0"/>
        <w:autoSpaceDN w:val="0"/>
        <w:adjustRightInd w:val="0"/>
        <w:spacing w:before="120"/>
        <w:jc w:val="center"/>
        <w:rPr>
          <w:color w:val="000000"/>
          <w:spacing w:val="-6"/>
        </w:rPr>
      </w:pPr>
      <w:r w:rsidRPr="00503B14">
        <w:rPr>
          <w:b/>
          <w:color w:val="000000"/>
          <w:spacing w:val="-6"/>
        </w:rPr>
        <w:t>Area-wide managem</w:t>
      </w:r>
      <w:r w:rsidR="00661B04" w:rsidRPr="00503B14">
        <w:rPr>
          <w:b/>
          <w:color w:val="000000"/>
          <w:spacing w:val="-6"/>
        </w:rPr>
        <w:t>ent of fruit flies in Australia</w:t>
      </w:r>
      <w:r w:rsidRPr="00503B14">
        <w:rPr>
          <w:b/>
          <w:color w:val="000000"/>
          <w:spacing w:val="-6"/>
        </w:rPr>
        <w:t>– Dream or Reality?</w:t>
      </w:r>
    </w:p>
    <w:p w14:paraId="1C628E3A" w14:textId="77777777" w:rsidR="000D76F7" w:rsidRPr="00503B14" w:rsidRDefault="000D76F7" w:rsidP="00661B04">
      <w:pPr>
        <w:autoSpaceDE w:val="0"/>
        <w:autoSpaceDN w:val="0"/>
        <w:adjustRightInd w:val="0"/>
        <w:spacing w:before="120"/>
        <w:jc w:val="center"/>
        <w:rPr>
          <w:b/>
          <w:color w:val="000000"/>
        </w:rPr>
      </w:pPr>
      <w:r w:rsidRPr="00503B14">
        <w:rPr>
          <w:b/>
          <w:color w:val="000000"/>
        </w:rPr>
        <w:t xml:space="preserve">Andrew Jessup, </w:t>
      </w:r>
      <w:r w:rsidRPr="00503B14">
        <w:rPr>
          <w:color w:val="000000"/>
        </w:rPr>
        <w:t>John Archer, David Cruickshank &amp; Christine Cruickshank</w:t>
      </w:r>
    </w:p>
    <w:p w14:paraId="0BF6FAB3" w14:textId="0D1BEFA8" w:rsidR="000D76F7" w:rsidRPr="00503B14" w:rsidRDefault="000D76F7" w:rsidP="00661B04">
      <w:pPr>
        <w:autoSpaceDE w:val="0"/>
        <w:autoSpaceDN w:val="0"/>
        <w:adjustRightInd w:val="0"/>
        <w:spacing w:before="120"/>
      </w:pPr>
      <w:r w:rsidRPr="00503B14">
        <w:rPr>
          <w:color w:val="000000"/>
          <w:spacing w:val="-12"/>
        </w:rPr>
        <w:t xml:space="preserve">Central Coast Primary Industries Centre (CCPIC), New South Wales Department of Primary Industries (NSWDPI), </w:t>
      </w:r>
      <w:r w:rsidRPr="00503B14">
        <w:t xml:space="preserve">Ourimbah, </w:t>
      </w:r>
      <w:r w:rsidR="00661B04" w:rsidRPr="00503B14">
        <w:t>Locked Bag 26, Gosford, NSW 2250, Australia.</w:t>
      </w:r>
      <w:r w:rsidR="00EC43C8" w:rsidRPr="00503B14">
        <w:t xml:space="preserve"> </w:t>
      </w:r>
      <w:r w:rsidR="00661B04" w:rsidRPr="00503B14">
        <w:t xml:space="preserve">E-mail: </w:t>
      </w:r>
      <w:hyperlink r:id="rId4" w:history="1">
        <w:r w:rsidR="0029131F" w:rsidRPr="0004527A">
          <w:rPr>
            <w:rStyle w:val="Hipervnculo"/>
          </w:rPr>
          <w:t>a***@***.gov.au</w:t>
        </w:r>
      </w:hyperlink>
    </w:p>
    <w:p w14:paraId="1CFC5E46" w14:textId="77777777" w:rsidR="000D76F7" w:rsidRPr="00503B14" w:rsidRDefault="000D76F7" w:rsidP="00661B04">
      <w:pPr>
        <w:autoSpaceDE w:val="0"/>
        <w:autoSpaceDN w:val="0"/>
        <w:adjustRightInd w:val="0"/>
        <w:spacing w:before="240"/>
        <w:jc w:val="both"/>
        <w:rPr>
          <w:color w:val="000000"/>
        </w:rPr>
      </w:pPr>
      <w:r w:rsidRPr="00503B14">
        <w:rPr>
          <w:i/>
          <w:color w:val="000000"/>
        </w:rPr>
        <w:t>Background</w:t>
      </w:r>
      <w:r w:rsidRPr="00503B14">
        <w:rPr>
          <w:color w:val="000000"/>
        </w:rPr>
        <w:t>: Eastern Australia is faced with serious fruit fly problems. These have been exacerbated by the spread of Queensland fruit fly (</w:t>
      </w:r>
      <w:r w:rsidRPr="00503B14">
        <w:rPr>
          <w:i/>
          <w:color w:val="000000"/>
        </w:rPr>
        <w:t>Bactrocera tryoni</w:t>
      </w:r>
      <w:r w:rsidRPr="00503B14">
        <w:rPr>
          <w:color w:val="000000"/>
        </w:rPr>
        <w:t xml:space="preserve">, Froggatt) into regions previously considered marginal, consequent reductions in Government funded fruit fly mitigation programs and by restrictions on the use of traditional pre- and post-harvest fruit fly pesticides such as dimethoate and fenthion. Pest fruit flies are not evenly spread over Australia. There are regions with endemic populations, some with established populations some of which could feasibly be designated as areas of low pest prevalence and yet other regions are completely free of pest fruit flies. All regions within Australia, regardless of fruit fly status, are, however, impacted by fruit flies whether they need to control existing populations or they need to take steps to maintain area freedom status. Fruit flies are, therefore, a national problem. </w:t>
      </w:r>
    </w:p>
    <w:p w14:paraId="18B97494" w14:textId="77777777" w:rsidR="000D76F7" w:rsidRPr="00503B14" w:rsidRDefault="000D76F7" w:rsidP="00661B04">
      <w:pPr>
        <w:autoSpaceDE w:val="0"/>
        <w:autoSpaceDN w:val="0"/>
        <w:adjustRightInd w:val="0"/>
        <w:spacing w:before="120"/>
        <w:jc w:val="both"/>
        <w:rPr>
          <w:color w:val="000000"/>
        </w:rPr>
      </w:pPr>
      <w:r w:rsidRPr="00503B14">
        <w:rPr>
          <w:i/>
          <w:color w:val="000000"/>
        </w:rPr>
        <w:t>Methods</w:t>
      </w:r>
      <w:r w:rsidRPr="00503B14">
        <w:rPr>
          <w:color w:val="000000"/>
        </w:rPr>
        <w:t>: Australian fruit fly researchers, policy makers and representatives of horticultural industries and regional councils are pulling together available knowledge on fruit fly behaviour and ecology as well the pest’s interaction with crop phenology, community awareness programs and current and historical trapping data into a national area-wide management (AWM) program for pest fruit flies. In fact, all information on fruit flies is being studied and sorted with gaps in this knowledge also being identified and filled if possible. Additionally, information and advice from both successful and unsuccessful AWM programs from Australia and overseas are being sought and assessed.</w:t>
      </w:r>
    </w:p>
    <w:p w14:paraId="1DBA20BE" w14:textId="77777777" w:rsidR="000D76F7" w:rsidRPr="00503B14" w:rsidRDefault="000D76F7" w:rsidP="00661B04">
      <w:pPr>
        <w:autoSpaceDE w:val="0"/>
        <w:autoSpaceDN w:val="0"/>
        <w:adjustRightInd w:val="0"/>
        <w:spacing w:before="120"/>
        <w:jc w:val="both"/>
        <w:rPr>
          <w:color w:val="000000"/>
        </w:rPr>
      </w:pPr>
      <w:r w:rsidRPr="00503B14">
        <w:rPr>
          <w:i/>
          <w:color w:val="000000"/>
        </w:rPr>
        <w:t>Results</w:t>
      </w:r>
      <w:r w:rsidRPr="00503B14">
        <w:rPr>
          <w:color w:val="000000"/>
        </w:rPr>
        <w:t>: Drawing on the successes as well as the difficulties faced by several existing AWM programs around Australia new regionally based programs have been set up or are in the process of being set up in areas where populations of Queensland fruit flies have established recently. This has been the result of the three levels of Government (Federal, State and Local), researchers, horticultural industries, providers of horticultural goods and services and regional communities working together and co-investing.</w:t>
      </w:r>
    </w:p>
    <w:p w14:paraId="0886DDBD" w14:textId="77777777" w:rsidR="000D76F7" w:rsidRPr="00503B14" w:rsidRDefault="000D76F7" w:rsidP="00661B04">
      <w:pPr>
        <w:autoSpaceDE w:val="0"/>
        <w:autoSpaceDN w:val="0"/>
        <w:adjustRightInd w:val="0"/>
        <w:spacing w:before="120"/>
        <w:jc w:val="both"/>
        <w:rPr>
          <w:color w:val="000000"/>
        </w:rPr>
      </w:pPr>
      <w:r w:rsidRPr="00503B14">
        <w:rPr>
          <w:i/>
          <w:color w:val="000000"/>
        </w:rPr>
        <w:t>Conclusions</w:t>
      </w:r>
      <w:r w:rsidRPr="00503B14">
        <w:rPr>
          <w:color w:val="000000"/>
        </w:rPr>
        <w:t>: There are several successful and, it seems, sustainable AWM programs against pest fruit flies set up in Australia. While there are differences in approaches between each system there are commonalities. It should be possible to set up a national fruit fly AWM program that could be used to establish management systems in any part of Australia where fruit flies are of concern.</w:t>
      </w:r>
    </w:p>
    <w:p w14:paraId="38F53E6D" w14:textId="77777777" w:rsidR="000D76F7" w:rsidRPr="00503B14" w:rsidRDefault="000D76F7" w:rsidP="00661B04">
      <w:pPr>
        <w:autoSpaceDE w:val="0"/>
        <w:autoSpaceDN w:val="0"/>
        <w:adjustRightInd w:val="0"/>
        <w:spacing w:before="240"/>
        <w:jc w:val="both"/>
        <w:rPr>
          <w:color w:val="000000"/>
        </w:rPr>
      </w:pPr>
      <w:r w:rsidRPr="005A7421">
        <w:rPr>
          <w:b/>
          <w:i/>
          <w:iCs/>
          <w:color w:val="000000"/>
        </w:rPr>
        <w:t>Key words</w:t>
      </w:r>
      <w:r w:rsidRPr="00503B14">
        <w:rPr>
          <w:color w:val="000000"/>
        </w:rPr>
        <w:t xml:space="preserve">: </w:t>
      </w:r>
      <w:proofErr w:type="spellStart"/>
      <w:r w:rsidRPr="00503B14">
        <w:rPr>
          <w:i/>
          <w:color w:val="000000"/>
        </w:rPr>
        <w:t>Bactrocera</w:t>
      </w:r>
      <w:proofErr w:type="spellEnd"/>
      <w:r w:rsidRPr="00503B14">
        <w:rPr>
          <w:i/>
          <w:color w:val="000000"/>
        </w:rPr>
        <w:t xml:space="preserve"> </w:t>
      </w:r>
      <w:proofErr w:type="spellStart"/>
      <w:r w:rsidRPr="00503B14">
        <w:rPr>
          <w:i/>
          <w:color w:val="000000"/>
        </w:rPr>
        <w:t>tryoni</w:t>
      </w:r>
      <w:proofErr w:type="spellEnd"/>
      <w:r w:rsidRPr="00503B14">
        <w:rPr>
          <w:color w:val="000000"/>
        </w:rPr>
        <w:t>, Queensland fruit fly, area-wide management, AWM</w:t>
      </w:r>
    </w:p>
    <w:p w14:paraId="3368C03A" w14:textId="77777777" w:rsidR="005A7421" w:rsidRDefault="005A7421" w:rsidP="005A7421">
      <w:pPr>
        <w:autoSpaceDE w:val="0"/>
        <w:autoSpaceDN w:val="0"/>
        <w:adjustRightInd w:val="0"/>
        <w:spacing w:before="120"/>
        <w:rPr>
          <w:b/>
          <w:color w:val="000000"/>
          <w:spacing w:val="-6"/>
        </w:rPr>
      </w:pPr>
      <w:r w:rsidRPr="005A7421">
        <w:rPr>
          <w:b/>
          <w:i/>
          <w:color w:val="000000"/>
          <w:spacing w:val="-6"/>
        </w:rPr>
        <w:t>Session 9</w:t>
      </w:r>
      <w:r>
        <w:rPr>
          <w:b/>
          <w:color w:val="000000"/>
          <w:spacing w:val="-6"/>
        </w:rPr>
        <w:t xml:space="preserve">. </w:t>
      </w:r>
      <w:r w:rsidRPr="005A7421">
        <w:rPr>
          <w:color w:val="000000"/>
          <w:spacing w:val="-6"/>
        </w:rPr>
        <w:t>Area-wide IPM and Action Programs</w:t>
      </w:r>
    </w:p>
    <w:p w14:paraId="54A348BC" w14:textId="77777777" w:rsidR="005A7421" w:rsidRPr="000C48EE" w:rsidRDefault="005A7421" w:rsidP="00661B04">
      <w:pPr>
        <w:autoSpaceDE w:val="0"/>
        <w:autoSpaceDN w:val="0"/>
        <w:adjustRightInd w:val="0"/>
        <w:jc w:val="both"/>
        <w:rPr>
          <w:color w:val="000000"/>
        </w:rPr>
      </w:pPr>
    </w:p>
    <w:sectPr w:rsidR="005A7421" w:rsidRPr="000C48EE" w:rsidSect="000D76F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CB1"/>
    <w:rsid w:val="000D76F7"/>
    <w:rsid w:val="00131710"/>
    <w:rsid w:val="00257630"/>
    <w:rsid w:val="0029131F"/>
    <w:rsid w:val="003B6CB1"/>
    <w:rsid w:val="0042075C"/>
    <w:rsid w:val="004554A1"/>
    <w:rsid w:val="00503B14"/>
    <w:rsid w:val="005A7421"/>
    <w:rsid w:val="00646C54"/>
    <w:rsid w:val="00661B04"/>
    <w:rsid w:val="007453FD"/>
    <w:rsid w:val="007E3536"/>
    <w:rsid w:val="009F2443"/>
    <w:rsid w:val="00B74DAB"/>
    <w:rsid w:val="00CE7B36"/>
    <w:rsid w:val="00D67F88"/>
    <w:rsid w:val="00EC43C8"/>
    <w:rsid w:val="00EE776F"/>
    <w:rsid w:val="00FD76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FD038"/>
  <w15:chartTrackingRefBased/>
  <w15:docId w15:val="{27912603-93E9-4AC3-A1A2-BB0A1861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eastAsia="en-A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C48EE"/>
    <w:rPr>
      <w:color w:val="0000FF"/>
      <w:u w:val="single"/>
    </w:rPr>
  </w:style>
  <w:style w:type="paragraph" w:styleId="Textodeglobo">
    <w:name w:val="Balloon Text"/>
    <w:basedOn w:val="Normal"/>
    <w:link w:val="TextodegloboCar"/>
    <w:rsid w:val="00503B14"/>
    <w:rPr>
      <w:rFonts w:ascii="Segoe UI" w:hAnsi="Segoe UI" w:cs="Segoe UI"/>
      <w:sz w:val="18"/>
      <w:szCs w:val="18"/>
    </w:rPr>
  </w:style>
  <w:style w:type="character" w:customStyle="1" w:styleId="TextodegloboCar">
    <w:name w:val="Texto de globo Car"/>
    <w:basedOn w:val="Fuentedeprrafopredeter"/>
    <w:link w:val="Textodeglobo"/>
    <w:rsid w:val="00503B14"/>
    <w:rPr>
      <w:rFonts w:ascii="Segoe UI" w:hAnsi="Segoe UI" w:cs="Segoe UI"/>
      <w:sz w:val="18"/>
      <w:szCs w:val="18"/>
      <w:lang w:val="en-AU" w:eastAsia="en-AU"/>
    </w:rPr>
  </w:style>
  <w:style w:type="character" w:styleId="Mencinsinresolver">
    <w:name w:val="Unresolved Mention"/>
    <w:basedOn w:val="Fuentedeprrafopredeter"/>
    <w:uiPriority w:val="99"/>
    <w:semiHidden/>
    <w:unhideWhenUsed/>
    <w:rsid w:val="00FD7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gov.a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2567</Characters>
  <Application>Microsoft Office Word</Application>
  <DocSecurity>0</DocSecurity>
  <Lines>21</Lines>
  <Paragraphs>6</Paragraphs>
  <ScaleCrop>false</ScaleCrop>
  <HeadingPairs>
    <vt:vector size="6" baseType="variant">
      <vt:variant>
        <vt:lpstr>Title</vt:lpstr>
      </vt:variant>
      <vt:variant>
        <vt:i4>1</vt:i4>
      </vt:variant>
      <vt:variant>
        <vt:lpstr>Título</vt:lpstr>
      </vt:variant>
      <vt:variant>
        <vt:i4>1</vt:i4>
      </vt:variant>
      <vt:variant>
        <vt:lpstr>ชื่อเรื่อง</vt:lpstr>
      </vt:variant>
      <vt:variant>
        <vt:i4>1</vt:i4>
      </vt:variant>
    </vt:vector>
  </HeadingPairs>
  <TitlesOfParts>
    <vt:vector size="3" baseType="lpstr">
      <vt:lpstr>Area-wide management of fruit flies in Australia – Dream or Reality</vt:lpstr>
      <vt:lpstr>Area-wide management of fruit flies in Australia – Dream or Reality</vt:lpstr>
      <vt:lpstr>Area-wide management of fruit flies in Australia – Dream or Reality</vt:lpstr>
    </vt:vector>
  </TitlesOfParts>
  <Company>NSW Department of Primary Industries</Company>
  <LinksUpToDate>false</LinksUpToDate>
  <CharactersWithSpaces>3027</CharactersWithSpaces>
  <SharedDoc>false</SharedDoc>
  <HyperlinkBase/>
  <HLinks>
    <vt:vector size="6" baseType="variant">
      <vt:variant>
        <vt:i4>3014735</vt:i4>
      </vt:variant>
      <vt:variant>
        <vt:i4>0</vt:i4>
      </vt:variant>
      <vt:variant>
        <vt:i4>0</vt:i4>
      </vt:variant>
      <vt:variant>
        <vt:i4>5</vt:i4>
      </vt:variant>
      <vt:variant>
        <vt:lpwstr>mailto:andrew.jessup@dpi.nsw.gov.au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Area-wide management of fruit flies in Australia – Dream or Reality</dc:title>
  <dc:subject/>
  <dc:creator>Reviewer</dc:creator>
  <cp:keywords/>
  <cp:lastModifiedBy>Pedro Quintana</cp:lastModifiedBy>
  <cp:revision>2</cp:revision>
  <dcterms:created xsi:type="dcterms:W3CDTF">2026-02-05T13:20:00Z</dcterms:created>
  <dcterms:modified xsi:type="dcterms:W3CDTF">2026-02-05T13:20:00Z</dcterms:modified>
</cp:coreProperties>
</file>